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Tally charts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Choose </w:t>
      </w:r>
      <w:r w:rsidDel="00000000" w:rsidR="00000000" w:rsidRPr="00000000">
        <w:rPr>
          <w:rtl w:val="0"/>
        </w:rPr>
        <w:t xml:space="preserve">a question based on the attributes of the learners in your class and complete the tally chart below.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My Question: </w:t>
      </w:r>
    </w:p>
    <w:p w:rsidR="00000000" w:rsidDel="00000000" w:rsidP="00000000" w:rsidRDefault="00000000" w:rsidRPr="00000000" w14:paraId="00000005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930"/>
        <w:gridCol w:w="3240"/>
        <w:gridCol w:w="1845"/>
        <w:tblGridChange w:id="0">
          <w:tblGrid>
            <w:gridCol w:w="3930"/>
            <w:gridCol w:w="3240"/>
            <w:gridCol w:w="18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Tally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b w:val="1"/>
                <w:sz w:val="36"/>
                <w:szCs w:val="36"/>
                <w:rtl w:val="0"/>
              </w:rPr>
              <w:t xml:space="preserve">Total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</w:t>
      </w:r>
      <w:hyperlink r:id="rId6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25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 </w:t>
      </w:r>
      <w:hyperlink r:id="rId7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ncce.io/ogl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F">
    <w:pPr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 xml:space="preserve">Last updated: 28-01-21</w:t>
    </w:r>
  </w:p>
  <w:p w:rsidR="00000000" w:rsidDel="00000000" w:rsidP="00000000" w:rsidRDefault="00000000" w:rsidRPr="00000000" w14:paraId="00000030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680.0" w:type="dxa"/>
      <w:jc w:val="left"/>
      <w:tblInd w:w="-62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035"/>
      <w:gridCol w:w="6645"/>
      <w:tblGridChange w:id="0">
        <w:tblGrid>
          <w:gridCol w:w="4035"/>
          <w:gridCol w:w="6645"/>
        </w:tblGrid>
      </w:tblGridChange>
    </w:tblGrid>
    <w:tr>
      <w:trPr>
        <w:trHeight w:val="217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8">
          <w:pPr>
            <w:spacing w:line="276" w:lineRule="auto"/>
            <w:ind w:left="9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2 – Pictograms</w:t>
          </w:r>
        </w:p>
        <w:p w:rsidR="00000000" w:rsidDel="00000000" w:rsidP="00000000" w:rsidRDefault="00000000" w:rsidRPr="00000000" w14:paraId="00000029">
          <w:pPr>
            <w:spacing w:line="276" w:lineRule="auto"/>
            <w:ind w:left="90" w:right="-234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5 – Comparing people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2B">
          <w:pPr>
            <w:widowControl w:val="0"/>
            <w:spacing w:line="240" w:lineRule="auto"/>
            <w:ind w:right="835.5118110236231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E">
    <w:pPr>
      <w:spacing w:line="276" w:lineRule="auto"/>
      <w:ind w:left="7920" w:right="-234.09448818897602" w:firstLine="0"/>
      <w:jc w:val="righ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7" Type="http://schemas.openxmlformats.org/officeDocument/2006/relationships/hyperlink" Target="https://ncce.io/og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